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 Personality Tests </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 Personality Tests</w:t>
      </w:r>
    </w:p>
    <w:p w:rsidR="00000000" w:rsidDel="00000000" w:rsidP="00000000" w:rsidRDefault="00000000" w:rsidRPr="00000000" w14:paraId="0000001C">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Minnesota Multiphasic Personality Inventory-2 (MMPI-2)</w:t>
      </w:r>
    </w:p>
    <w:p w:rsidR="00000000" w:rsidDel="00000000" w:rsidP="00000000" w:rsidRDefault="00000000" w:rsidRPr="00000000" w14:paraId="0000001D">
      <w:pPr>
        <w:spacing w:line="480" w:lineRule="auto"/>
        <w:ind w:firstLine="72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How was it developed? </w:t>
      </w:r>
    </w:p>
    <w:p w:rsidR="00000000" w:rsidDel="00000000" w:rsidP="00000000" w:rsidRDefault="00000000" w:rsidRPr="00000000" w14:paraId="0000001E">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Hathaway and McKinely (1940) initially developed MMPI-2 for purposes of psychiatric and medical screening. In the original work, the inventors used a scale construction technique known as a criteria-referenced approach for developing the MMPI-2 clinical scale (</w:t>
      </w:r>
      <w:r w:rsidDel="00000000" w:rsidR="00000000" w:rsidRPr="00000000">
        <w:rPr>
          <w:rFonts w:ascii="Times New Roman" w:cs="Times New Roman" w:eastAsia="Times New Roman" w:hAnsi="Times New Roman"/>
          <w:color w:val="222222"/>
          <w:sz w:val="24"/>
          <w:szCs w:val="24"/>
          <w:highlight w:val="white"/>
          <w:rtl w:val="0"/>
        </w:rPr>
        <w:t xml:space="preserve">Rogers et al., 2006</w:t>
      </w:r>
      <w:r w:rsidDel="00000000" w:rsidR="00000000" w:rsidRPr="00000000">
        <w:rPr>
          <w:rFonts w:ascii="Times New Roman" w:cs="Times New Roman" w:eastAsia="Times New Roman" w:hAnsi="Times New Roman"/>
          <w:sz w:val="24"/>
          <w:szCs w:val="24"/>
          <w:rtl w:val="0"/>
        </w:rPr>
        <w:t xml:space="preserve">). They selected items with the assurance that on a given scale, they each predicted the criterion or membership within a clinical group. For example, in developing scale 2, the scale for depression, participants who had clinical depression were compared with healthy individuals. Participants who scored high on the depression scale proved their level of depression in a way that was different from the healthy group (</w:t>
      </w:r>
      <w:r w:rsidDel="00000000" w:rsidR="00000000" w:rsidRPr="00000000">
        <w:rPr>
          <w:rFonts w:ascii="Times New Roman" w:cs="Times New Roman" w:eastAsia="Times New Roman" w:hAnsi="Times New Roman"/>
          <w:color w:val="222222"/>
          <w:sz w:val="24"/>
          <w:szCs w:val="24"/>
          <w:highlight w:val="white"/>
          <w:rtl w:val="0"/>
        </w:rPr>
        <w:t xml:space="preserve">Rogers et al., 2006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line="480" w:lineRule="auto"/>
        <w:ind w:left="72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are some advantages of using a disorders-based objective personality measure? How could those advantages affect both diagnosis and treatment?</w:t>
      </w:r>
    </w:p>
    <w:p w:rsidR="00000000" w:rsidDel="00000000" w:rsidP="00000000" w:rsidRDefault="00000000" w:rsidRPr="00000000" w14:paraId="0000002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advantage of using a disorder-based objective personality measure like the MMPI-2 is that it is an easy personality assessment to use in a clinical environment because it only requires limited time for the administration. The other advantage is that it provides information, which is relevant in many settings where personality profiles are useful.  These advantages could positively affect both diagnosis and treatment in that there is relatively little professional time required for administering and for the score. The profile additionally gives clinical a visual presentation of important personality information that can help in the process of diagnosis and treatment.</w:t>
      </w:r>
    </w:p>
    <w:p w:rsidR="00000000" w:rsidDel="00000000" w:rsidP="00000000" w:rsidRDefault="00000000" w:rsidRPr="00000000" w14:paraId="00000021">
      <w:pPr>
        <w:spacing w:line="480" w:lineRule="auto"/>
        <w:ind w:left="72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are some disadvantages? How could the disadvantages affect both diagnosis and treatment?</w:t>
      </w:r>
    </w:p>
    <w:p w:rsidR="00000000" w:rsidDel="00000000" w:rsidP="00000000" w:rsidRDefault="00000000" w:rsidRPr="00000000" w14:paraId="0000002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disadvantage is that individuals can easily modify their responses to hide symptoms or other disorders. Even when using the validity scale of MMPI-2, individuals can quickly tone down their answers. In addition, individuals can have a hard time understanding the questions being tested. Modifying responses to hide symptoms can negatively affect diagnosis and treatment because clinicians may not identify the underlying personality trait during the clinical examination. When individuals have difficulty understanding the questions examined, the reliability and validity of the diagnosis and treatment may have specific weaknesses and cannot assist with the overall assessment of the patient.</w:t>
      </w:r>
    </w:p>
    <w:p w:rsidR="00000000" w:rsidDel="00000000" w:rsidP="00000000" w:rsidRDefault="00000000" w:rsidRPr="00000000" w14:paraId="0000002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Millon Clinical Multiaxial Inventory-III (MCMI-III)</w:t>
      </w:r>
    </w:p>
    <w:p w:rsidR="00000000" w:rsidDel="00000000" w:rsidP="00000000" w:rsidRDefault="00000000" w:rsidRPr="00000000" w14:paraId="00000024">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How does it differ from the primary test you selected?</w:t>
      </w:r>
    </w:p>
    <w:p w:rsidR="00000000" w:rsidDel="00000000" w:rsidP="00000000" w:rsidRDefault="00000000" w:rsidRPr="00000000" w14:paraId="0000002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MCMI-III and MMPI-2 differ in that MCMI-III focuses on testing personality disorders. Unlike MMPI-2, MCMI-III is distinguished due to the scales associated with personality disorders in </w:t>
      </w:r>
      <w:r w:rsidDel="00000000" w:rsidR="00000000" w:rsidRPr="00000000">
        <w:rPr>
          <w:rFonts w:ascii="Times New Roman" w:cs="Times New Roman" w:eastAsia="Times New Roman" w:hAnsi="Times New Roman"/>
          <w:i w:val="1"/>
          <w:sz w:val="24"/>
          <w:szCs w:val="24"/>
          <w:rtl w:val="0"/>
        </w:rPr>
        <w:t xml:space="preserve">DSM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highlight w:val="white"/>
          <w:rtl w:val="0"/>
        </w:rPr>
        <w:t xml:space="preserve">van der Heijden et al., 2012</w:t>
      </w:r>
      <w:r w:rsidDel="00000000" w:rsidR="00000000" w:rsidRPr="00000000">
        <w:rPr>
          <w:rFonts w:ascii="Times New Roman" w:cs="Times New Roman" w:eastAsia="Times New Roman" w:hAnsi="Times New Roman"/>
          <w:sz w:val="24"/>
          <w:szCs w:val="24"/>
          <w:rtl w:val="0"/>
        </w:rPr>
        <w:t xml:space="preserve">). It also includes a distinct clinical scale that corresponds to each of the ten personality disorders, including paranoia, narcissism, anti-social, borderline, among others. Furthermore, it also includes clinical scales for various personality pathologies that have been considered part of the </w:t>
      </w:r>
      <w:r w:rsidDel="00000000" w:rsidR="00000000" w:rsidRPr="00000000">
        <w:rPr>
          <w:rFonts w:ascii="Times New Roman" w:cs="Times New Roman" w:eastAsia="Times New Roman" w:hAnsi="Times New Roman"/>
          <w:i w:val="1"/>
          <w:sz w:val="24"/>
          <w:szCs w:val="24"/>
          <w:rtl w:val="0"/>
        </w:rPr>
        <w:t xml:space="preserve">DSM</w:t>
      </w:r>
      <w:r w:rsidDel="00000000" w:rsidR="00000000" w:rsidRPr="00000000">
        <w:rPr>
          <w:rFonts w:ascii="Times New Roman" w:cs="Times New Roman" w:eastAsia="Times New Roman" w:hAnsi="Times New Roman"/>
          <w:sz w:val="24"/>
          <w:szCs w:val="24"/>
          <w:rtl w:val="0"/>
        </w:rPr>
        <w:t xml:space="preserve"> but have been lately left out (</w:t>
      </w:r>
      <w:r w:rsidDel="00000000" w:rsidR="00000000" w:rsidRPr="00000000">
        <w:rPr>
          <w:rFonts w:ascii="Times New Roman" w:cs="Times New Roman" w:eastAsia="Times New Roman" w:hAnsi="Times New Roman"/>
          <w:color w:val="222222"/>
          <w:sz w:val="24"/>
          <w:szCs w:val="24"/>
          <w:highlight w:val="white"/>
          <w:rtl w:val="0"/>
        </w:rPr>
        <w:t xml:space="preserve">Rossi et al., 2003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References</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Rogers, R., Sewell, K. W., Harrison, K. S., &amp; Jordan, M. J. (2006). The MMPI–2 Restructured Clinical scales: A paradigmatic shift in scale development.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Journal of Personality Assessment</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87</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(2), 139-147.</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Rossi, G., Van den Brande, I., Tobac, A., Sloore, H., &amp; Hauben, C. (2003). Convergent validity of the MCMI-II personality disorder scales and the MMPI-2 scales.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Journal of Personality Disorders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17</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(4), 330-340.</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Van der Heijden, P. T., Egger, J. I., Rossi, G. M., &amp; Derksen, J. J. (2012). Integrating psychopathology and personality disorders conceptualized by the MMPI–2–RF and the MCMI–III: A structural validity study.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Journal of personality assessment</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94</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(4), 345-357.</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OBJECTIVE PERSONALITY TESTS</w:t>
      <w:tab/>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OBJECTIVE PERSONALITY TESTS</w:t>
      <w:tab/>
      <w:tab/>
      <w:tab/>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